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15D21" w14:textId="77777777" w:rsidR="00B97A51" w:rsidRDefault="00B97A51" w:rsidP="00FE28BC">
      <w:pPr>
        <w:jc w:val="both"/>
        <w:rPr>
          <w:rFonts w:cs="Arial"/>
        </w:rPr>
      </w:pPr>
    </w:p>
    <w:p w14:paraId="4DF01438" w14:textId="77777777" w:rsidR="00B97A51" w:rsidRDefault="00B97A51" w:rsidP="00FE28BC">
      <w:pPr>
        <w:jc w:val="both"/>
        <w:rPr>
          <w:rFonts w:cs="Arial"/>
        </w:rPr>
      </w:pPr>
    </w:p>
    <w:p w14:paraId="78CF6DE0" w14:textId="77777777" w:rsidR="00B97A51" w:rsidRDefault="00B97A51" w:rsidP="00FE28BC">
      <w:pPr>
        <w:jc w:val="both"/>
        <w:rPr>
          <w:rFonts w:cs="Arial"/>
        </w:rPr>
      </w:pPr>
    </w:p>
    <w:p w14:paraId="36287EAB" w14:textId="77777777" w:rsidR="00B97A51" w:rsidRDefault="00B97A51" w:rsidP="00FE28BC">
      <w:pPr>
        <w:jc w:val="both"/>
        <w:rPr>
          <w:rFonts w:cs="Arial"/>
        </w:rPr>
      </w:pPr>
    </w:p>
    <w:p w14:paraId="19D5FED8" w14:textId="77777777" w:rsidR="00B97A51" w:rsidRDefault="00B97A51" w:rsidP="00FE28BC">
      <w:pPr>
        <w:jc w:val="both"/>
        <w:rPr>
          <w:rFonts w:cs="Arial"/>
        </w:rPr>
      </w:pPr>
    </w:p>
    <w:p w14:paraId="7635A754" w14:textId="77777777" w:rsidR="00B97A51" w:rsidRDefault="00B97A51" w:rsidP="00FE28BC">
      <w:pPr>
        <w:jc w:val="both"/>
        <w:rPr>
          <w:rFonts w:cs="Arial"/>
        </w:rPr>
      </w:pPr>
    </w:p>
    <w:p w14:paraId="4387F402" w14:textId="77777777" w:rsidR="00B97A51" w:rsidRDefault="00B97A51" w:rsidP="00FE28BC">
      <w:pPr>
        <w:jc w:val="both"/>
        <w:rPr>
          <w:rFonts w:cs="Arial"/>
        </w:rPr>
      </w:pPr>
    </w:p>
    <w:p w14:paraId="55727733" w14:textId="77777777" w:rsidR="00B97A51" w:rsidRDefault="00B97A51" w:rsidP="00FE28BC">
      <w:pPr>
        <w:jc w:val="both"/>
        <w:rPr>
          <w:rFonts w:cs="Arial"/>
        </w:rPr>
      </w:pPr>
    </w:p>
    <w:p w14:paraId="1B896494" w14:textId="77777777" w:rsidR="0025463C" w:rsidRDefault="0025463C" w:rsidP="0025463C">
      <w:pPr>
        <w:jc w:val="both"/>
        <w:rPr>
          <w:rFonts w:cs="Arial"/>
        </w:rPr>
      </w:pPr>
      <w:r>
        <w:rPr>
          <w:rFonts w:cs="Arial"/>
        </w:rPr>
        <w:t>NOTE X – HEALTH &amp; WELFARE</w:t>
      </w:r>
    </w:p>
    <w:p w14:paraId="00E434A5" w14:textId="77777777" w:rsidR="0025463C" w:rsidRDefault="0025463C" w:rsidP="0025463C">
      <w:pPr>
        <w:jc w:val="both"/>
        <w:rPr>
          <w:rFonts w:cs="Arial"/>
        </w:rPr>
      </w:pPr>
    </w:p>
    <w:p w14:paraId="4825FFF4" w14:textId="77777777" w:rsidR="00713A0A" w:rsidRDefault="0025463C" w:rsidP="0025463C">
      <w:pPr>
        <w:rPr>
          <w:rFonts w:cs="Arial"/>
        </w:rPr>
      </w:pPr>
      <w:r>
        <w:rPr>
          <w:rFonts w:cs="Arial"/>
        </w:rPr>
        <w:t>The [</w:t>
      </w:r>
      <w:r>
        <w:rPr>
          <w:rFonts w:cs="Arial"/>
          <w:b/>
          <w:highlight w:val="yellow"/>
        </w:rPr>
        <w:t>YOUR CITY/TOWN</w:t>
      </w:r>
      <w:r w:rsidRPr="00CA28FA">
        <w:rPr>
          <w:rFonts w:cs="Arial"/>
          <w:b/>
          <w:highlight w:val="yellow"/>
        </w:rPr>
        <w:t>/</w:t>
      </w:r>
      <w:r>
        <w:rPr>
          <w:rFonts w:cs="Arial"/>
          <w:b/>
          <w:highlight w:val="yellow"/>
        </w:rPr>
        <w:t xml:space="preserve">NON-CITY </w:t>
      </w:r>
      <w:r w:rsidRPr="00CA28FA">
        <w:rPr>
          <w:rFonts w:cs="Arial"/>
          <w:b/>
          <w:highlight w:val="yellow"/>
        </w:rPr>
        <w:t>ENTITY</w:t>
      </w:r>
      <w:r>
        <w:rPr>
          <w:rFonts w:cs="Arial"/>
        </w:rPr>
        <w:t>] is a member of the Association of Washington Cities Employee Benefit Trust Health Care Program (AWC Trust HCP).</w:t>
      </w:r>
      <w:r w:rsidR="00713A0A">
        <w:rPr>
          <w:rFonts w:cs="Arial"/>
        </w:rPr>
        <w:t xml:space="preserve"> </w:t>
      </w:r>
      <w:r>
        <w:rPr>
          <w:rFonts w:cs="Arial"/>
        </w:rPr>
        <w:t xml:space="preserve">Chapter 48.62 RCW provides that two or more local government entities may, by Interlocal agreement under Chapter 39.34 RCW, form together or join a pool or organization for the joint purchasing of insurance, and/or joint self-insurance, to the same extent that they may individually purchase </w:t>
      </w:r>
      <w:proofErr w:type="gramStart"/>
      <w:r>
        <w:rPr>
          <w:rFonts w:cs="Arial"/>
        </w:rPr>
        <w:t>insurance, or</w:t>
      </w:r>
      <w:proofErr w:type="gramEnd"/>
      <w:r>
        <w:rPr>
          <w:rFonts w:cs="Arial"/>
        </w:rPr>
        <w:t xml:space="preserve"> self-insure.</w:t>
      </w:r>
    </w:p>
    <w:p w14:paraId="015FD16F" w14:textId="62ED6419" w:rsidR="0025463C" w:rsidRDefault="0025463C" w:rsidP="0025463C">
      <w:pPr>
        <w:rPr>
          <w:rFonts w:cs="Arial"/>
        </w:rPr>
      </w:pPr>
    </w:p>
    <w:p w14:paraId="53F23FA7" w14:textId="52D06ABE" w:rsidR="0025463C" w:rsidRDefault="0025463C" w:rsidP="0025463C">
      <w:pPr>
        <w:rPr>
          <w:rFonts w:cs="Arial"/>
        </w:rPr>
      </w:pPr>
      <w:r>
        <w:rPr>
          <w:rFonts w:cs="Arial"/>
        </w:rPr>
        <w:t>An agreement to form a pooling arrangement was made pursuant to the provisions of Chapter 39.34 RCW, the Interlocal Cooperation Act.</w:t>
      </w:r>
      <w:r w:rsidR="00713A0A">
        <w:rPr>
          <w:rFonts w:cs="Arial"/>
        </w:rPr>
        <w:t xml:space="preserve"> </w:t>
      </w:r>
      <w:r>
        <w:rPr>
          <w:rFonts w:cs="Arial"/>
        </w:rPr>
        <w:t xml:space="preserve">The AWC Trust HCP was formed on January 1, </w:t>
      </w:r>
      <w:proofErr w:type="gramStart"/>
      <w:r>
        <w:rPr>
          <w:rFonts w:cs="Arial"/>
        </w:rPr>
        <w:t>2014</w:t>
      </w:r>
      <w:proofErr w:type="gramEnd"/>
      <w:r>
        <w:rPr>
          <w:rFonts w:cs="Arial"/>
        </w:rPr>
        <w:t xml:space="preserve"> when participating cities, towns, and non-city entities of the AWC Employee Benefit Trust in the State of Washington joined together by signing an Interlocal Governmental Agreement to jointly self-insure certain health benefit plans and programs for participating employees, their covered dependents and other beneficiaries through a designated account within the Trust.</w:t>
      </w:r>
    </w:p>
    <w:p w14:paraId="0F80C995" w14:textId="77777777" w:rsidR="0025463C" w:rsidRDefault="0025463C" w:rsidP="0025463C">
      <w:pPr>
        <w:rPr>
          <w:rFonts w:cs="Arial"/>
        </w:rPr>
      </w:pPr>
    </w:p>
    <w:p w14:paraId="5AC204E3" w14:textId="77777777" w:rsidR="0025463C" w:rsidRDefault="0025463C" w:rsidP="0025463C">
      <w:pPr>
        <w:rPr>
          <w:rFonts w:cs="Arial"/>
        </w:rPr>
      </w:pPr>
      <w:r>
        <w:rPr>
          <w:rFonts w:cs="Arial"/>
        </w:rPr>
        <w:t>As of December 31, 202</w:t>
      </w:r>
      <w:r w:rsidR="009C4B71">
        <w:rPr>
          <w:rFonts w:cs="Arial"/>
        </w:rPr>
        <w:t>5</w:t>
      </w:r>
      <w:r>
        <w:rPr>
          <w:rFonts w:cs="Arial"/>
        </w:rPr>
        <w:t xml:space="preserve">, </w:t>
      </w:r>
      <w:r w:rsidRPr="00601170">
        <w:rPr>
          <w:rFonts w:cs="Arial"/>
        </w:rPr>
        <w:t>2</w:t>
      </w:r>
      <w:r w:rsidR="00601170">
        <w:rPr>
          <w:rFonts w:cs="Arial"/>
        </w:rPr>
        <w:t>71</w:t>
      </w:r>
      <w:r>
        <w:rPr>
          <w:rFonts w:cs="Arial"/>
        </w:rPr>
        <w:t xml:space="preserve"> cities/towns/non-city entities participate and have enrollment in the AWC Trust HCP.</w:t>
      </w:r>
    </w:p>
    <w:p w14:paraId="6042554D" w14:textId="77777777" w:rsidR="0025463C" w:rsidRDefault="0025463C" w:rsidP="0025463C">
      <w:pPr>
        <w:rPr>
          <w:rFonts w:cs="Arial"/>
        </w:rPr>
      </w:pPr>
    </w:p>
    <w:p w14:paraId="62C6CF16" w14:textId="77777777" w:rsidR="00713A0A" w:rsidRDefault="0025463C" w:rsidP="0025463C">
      <w:pPr>
        <w:rPr>
          <w:rFonts w:cs="Arial"/>
        </w:rPr>
      </w:pPr>
      <w:r>
        <w:rPr>
          <w:rFonts w:cs="Arial"/>
        </w:rPr>
        <w:t>The AWC Trust HCP allows members to establish a program of joint insurance and provides health and welfare services to all participating members.</w:t>
      </w:r>
    </w:p>
    <w:p w14:paraId="09DD4DBF" w14:textId="146E33D3" w:rsidR="0025463C" w:rsidRDefault="0025463C" w:rsidP="0025463C">
      <w:pPr>
        <w:rPr>
          <w:rFonts w:cs="Arial"/>
        </w:rPr>
      </w:pPr>
    </w:p>
    <w:p w14:paraId="1E05F770" w14:textId="77777777" w:rsidR="00713A0A" w:rsidRDefault="0025463C" w:rsidP="0025463C">
      <w:pPr>
        <w:rPr>
          <w:rFonts w:cs="Arial"/>
        </w:rPr>
      </w:pPr>
      <w:r>
        <w:rPr>
          <w:rFonts w:cs="Arial"/>
        </w:rPr>
        <w:t xml:space="preserve">In April 2020, the Board of Trustees adopted a large employer policy, requiring newly enrolling groups with 600 or more employees to submit medical claims experience data </w:t>
      </w:r>
      <w:proofErr w:type="gramStart"/>
      <w:r>
        <w:rPr>
          <w:rFonts w:cs="Arial"/>
        </w:rPr>
        <w:t>in order to</w:t>
      </w:r>
      <w:proofErr w:type="gramEnd"/>
      <w:r>
        <w:rPr>
          <w:rFonts w:cs="Arial"/>
        </w:rPr>
        <w:t xml:space="preserve"> receive a quote for medical coverage.</w:t>
      </w:r>
      <w:r w:rsidR="00713A0A">
        <w:rPr>
          <w:rFonts w:cs="Arial"/>
        </w:rPr>
        <w:t xml:space="preserve"> </w:t>
      </w:r>
      <w:r>
        <w:rPr>
          <w:rFonts w:cs="Arial"/>
        </w:rPr>
        <w:t>Outside of this, the AWC Trust HCP pools claims without regard to individual member experience.</w:t>
      </w:r>
      <w:r w:rsidR="00713A0A">
        <w:rPr>
          <w:rFonts w:cs="Arial"/>
        </w:rPr>
        <w:t xml:space="preserve"> </w:t>
      </w:r>
      <w:r>
        <w:rPr>
          <w:rFonts w:cs="Arial"/>
        </w:rPr>
        <w:t xml:space="preserve">The pool is actuarially rated each year with the assumption of projected claims </w:t>
      </w:r>
      <w:proofErr w:type="gramStart"/>
      <w:r>
        <w:rPr>
          <w:rFonts w:cs="Arial"/>
        </w:rPr>
        <w:t>run-out</w:t>
      </w:r>
      <w:proofErr w:type="gramEnd"/>
      <w:r>
        <w:rPr>
          <w:rFonts w:cs="Arial"/>
        </w:rPr>
        <w:t xml:space="preserve"> for all current members.</w:t>
      </w:r>
    </w:p>
    <w:p w14:paraId="2F7B6902" w14:textId="000369FE" w:rsidR="0025463C" w:rsidRDefault="0025463C" w:rsidP="0025463C">
      <w:pPr>
        <w:rPr>
          <w:rFonts w:cs="Arial"/>
        </w:rPr>
      </w:pPr>
    </w:p>
    <w:p w14:paraId="1A772C05" w14:textId="77777777" w:rsidR="00713A0A" w:rsidRDefault="0025463C" w:rsidP="0025463C">
      <w:pPr>
        <w:rPr>
          <w:rFonts w:cs="Arial"/>
        </w:rPr>
      </w:pPr>
      <w:r>
        <w:rPr>
          <w:rFonts w:cs="Arial"/>
        </w:rPr>
        <w:t>The AWC Trust HCP includes medical, dental and vision insurance through the following carriers:</w:t>
      </w:r>
      <w:r w:rsidR="00713A0A">
        <w:rPr>
          <w:rFonts w:cs="Arial"/>
        </w:rPr>
        <w:t xml:space="preserve"> </w:t>
      </w:r>
      <w:r>
        <w:rPr>
          <w:rFonts w:cs="Arial"/>
        </w:rPr>
        <w:t>Kaiser Foundation Health Plan of Washington, Kaiser Foundation Health Plan of Washington Options, Inc., Regence BlueShield, Asuris Northwest Health, Delta Dental of Washington, Willamette Dental Group, and Vision Service Plan. Eligible members are cities and towns within the state of Washington.</w:t>
      </w:r>
      <w:r w:rsidR="00713A0A">
        <w:rPr>
          <w:rFonts w:cs="Arial"/>
        </w:rPr>
        <w:t xml:space="preserve"> </w:t>
      </w:r>
      <w:r>
        <w:rPr>
          <w:rFonts w:cs="Arial"/>
        </w:rPr>
        <w:t>Non-City Entities (public agency, public corporation, intergovernmental agency, or political subdivision within the state of Washington) are eligible to apply for coverage into the AWC Trust HCP, submitting application to the Board of Trustees for review as required in the Trust Agreement.</w:t>
      </w:r>
    </w:p>
    <w:p w14:paraId="1E3CC83F" w14:textId="65F24613" w:rsidR="0025463C" w:rsidRDefault="0025463C" w:rsidP="0025463C">
      <w:pPr>
        <w:rPr>
          <w:rFonts w:cs="Arial"/>
        </w:rPr>
      </w:pPr>
    </w:p>
    <w:p w14:paraId="08AF58AB" w14:textId="77777777" w:rsidR="00713A0A" w:rsidRDefault="0025463C" w:rsidP="0025463C">
      <w:pPr>
        <w:rPr>
          <w:rFonts w:cs="Arial"/>
        </w:rPr>
      </w:pPr>
      <w:r>
        <w:rPr>
          <w:rFonts w:cs="Arial"/>
        </w:rPr>
        <w:t>Participating employers pay monthly premiums to the AWC Trust HCP.</w:t>
      </w:r>
      <w:r w:rsidR="00713A0A">
        <w:rPr>
          <w:rFonts w:cs="Arial"/>
        </w:rPr>
        <w:t xml:space="preserve"> </w:t>
      </w:r>
      <w:r>
        <w:rPr>
          <w:rFonts w:cs="Arial"/>
        </w:rPr>
        <w:t>The AWC Trust HCP is responsible for payment of all covered claims.</w:t>
      </w:r>
      <w:r w:rsidR="00713A0A">
        <w:rPr>
          <w:rFonts w:cs="Arial"/>
        </w:rPr>
        <w:t xml:space="preserve"> </w:t>
      </w:r>
      <w:r>
        <w:rPr>
          <w:rFonts w:cs="Arial"/>
        </w:rPr>
        <w:t>In 202</w:t>
      </w:r>
      <w:r w:rsidR="009C4B71">
        <w:rPr>
          <w:rFonts w:cs="Arial"/>
        </w:rPr>
        <w:t>5</w:t>
      </w:r>
      <w:r>
        <w:rPr>
          <w:rFonts w:cs="Arial"/>
        </w:rPr>
        <w:t>, the AWC Trust HCP purchased medical stop loss insurance for Regence/Asuris and Kaiser plans at an Individual Stop Loss (ISL) of $</w:t>
      </w:r>
      <w:r w:rsidR="000227D9">
        <w:rPr>
          <w:rFonts w:cs="Arial"/>
        </w:rPr>
        <w:t>2</w:t>
      </w:r>
      <w:r>
        <w:rPr>
          <w:rFonts w:cs="Arial"/>
        </w:rPr>
        <w:t xml:space="preserve"> million through United States Fire Insurance Company.</w:t>
      </w:r>
      <w:r w:rsidR="00713A0A">
        <w:rPr>
          <w:rFonts w:cs="Arial"/>
        </w:rPr>
        <w:t xml:space="preserve"> </w:t>
      </w:r>
      <w:r>
        <w:rPr>
          <w:rFonts w:cs="Arial"/>
        </w:rPr>
        <w:t>The aggregate policy is for 200% of expected medical claims.</w:t>
      </w:r>
    </w:p>
    <w:p w14:paraId="133A824D" w14:textId="68E08731" w:rsidR="0025463C" w:rsidRDefault="0025463C" w:rsidP="0025463C">
      <w:pPr>
        <w:rPr>
          <w:rFonts w:cs="Arial"/>
        </w:rPr>
      </w:pPr>
    </w:p>
    <w:p w14:paraId="146AF0C0" w14:textId="77777777" w:rsidR="00713A0A" w:rsidRDefault="0025463C" w:rsidP="0025463C">
      <w:pPr>
        <w:rPr>
          <w:rFonts w:cs="Arial"/>
        </w:rPr>
      </w:pPr>
      <w:proofErr w:type="gramStart"/>
      <w:r>
        <w:rPr>
          <w:rFonts w:cs="Arial"/>
        </w:rPr>
        <w:t>Participating</w:t>
      </w:r>
      <w:proofErr w:type="gramEnd"/>
      <w:r>
        <w:rPr>
          <w:rFonts w:cs="Arial"/>
        </w:rPr>
        <w:t xml:space="preserve"> employers </w:t>
      </w:r>
      <w:proofErr w:type="gramStart"/>
      <w:r>
        <w:rPr>
          <w:rFonts w:cs="Arial"/>
        </w:rPr>
        <w:t>contract</w:t>
      </w:r>
      <w:proofErr w:type="gramEnd"/>
      <w:r>
        <w:rPr>
          <w:rFonts w:cs="Arial"/>
        </w:rPr>
        <w:t xml:space="preserve"> to remain in the AWC Trust HCP for a minimum of three years.</w:t>
      </w:r>
      <w:r w:rsidR="00713A0A">
        <w:rPr>
          <w:rFonts w:cs="Arial"/>
        </w:rPr>
        <w:t xml:space="preserve"> </w:t>
      </w:r>
      <w:r>
        <w:rPr>
          <w:rFonts w:cs="Arial"/>
        </w:rPr>
        <w:t>Participating employers with over 250 employees must provide written notice of termination of all coverage a minimum of 12 months in advance of the termination date, and participating employers with under 250 employees must provide written notice of termination of all coverage a minimum of 6 months in advance of termination date. When all coverage is being terminated, termination will only occur on December 31. Participating employers terminating a group or line of coverage must notify the AWC Trust HCP a minimum of 60 days prior to termination.</w:t>
      </w:r>
      <w:r w:rsidR="00713A0A">
        <w:rPr>
          <w:rFonts w:cs="Arial"/>
        </w:rPr>
        <w:t xml:space="preserve"> </w:t>
      </w:r>
      <w:r>
        <w:rPr>
          <w:rFonts w:cs="Arial"/>
        </w:rPr>
        <w:t xml:space="preserve">A participating employer’s termination will not obligate that member to past debts, or further contributions to the AWC Trust HCP. Similarly, the terminating member forfeits all rights and </w:t>
      </w:r>
      <w:proofErr w:type="gramStart"/>
      <w:r>
        <w:rPr>
          <w:rFonts w:cs="Arial"/>
        </w:rPr>
        <w:t>interest</w:t>
      </w:r>
      <w:proofErr w:type="gramEnd"/>
      <w:r>
        <w:rPr>
          <w:rFonts w:cs="Arial"/>
        </w:rPr>
        <w:t xml:space="preserve"> to the AWC Trust HCP Account.</w:t>
      </w:r>
    </w:p>
    <w:p w14:paraId="575CABFF" w14:textId="49E940E2" w:rsidR="0025463C" w:rsidRDefault="0025463C" w:rsidP="0025463C">
      <w:pPr>
        <w:rPr>
          <w:rFonts w:cs="Arial"/>
        </w:rPr>
      </w:pPr>
    </w:p>
    <w:p w14:paraId="2E457098" w14:textId="77777777" w:rsidR="00713A0A" w:rsidRDefault="0025463C" w:rsidP="0025463C">
      <w:pPr>
        <w:rPr>
          <w:rFonts w:cs="Arial"/>
        </w:rPr>
      </w:pPr>
      <w:r>
        <w:rPr>
          <w:rFonts w:cs="Arial"/>
        </w:rPr>
        <w:t>The operations of the Health Care Program are managed by the Board of Trustees or its delegates.</w:t>
      </w:r>
      <w:r w:rsidR="00713A0A">
        <w:rPr>
          <w:rFonts w:cs="Arial"/>
        </w:rPr>
        <w:t xml:space="preserve"> </w:t>
      </w:r>
      <w:r>
        <w:rPr>
          <w:rFonts w:cs="Arial"/>
        </w:rPr>
        <w:t>The Board of Trustees is comprised of four regionally elected officials from Trust member cities or towns, the Employee Benefit Advisory Committee Chair and Vice Chair, and two appointed individuals from the AWC Board of Directors, who are from Trust member cities or towns.</w:t>
      </w:r>
      <w:r w:rsidR="00713A0A">
        <w:rPr>
          <w:rFonts w:cs="Arial"/>
        </w:rPr>
        <w:t xml:space="preserve"> </w:t>
      </w:r>
      <w:r>
        <w:rPr>
          <w:rFonts w:cs="Arial"/>
        </w:rPr>
        <w:t>The Trustees or its appointed delegates review and analyze Health Care Program related matters and make operational decisions regarding premium contributions, reserves, plan options and benefits in compliance with Chapter 48.62 RCW.</w:t>
      </w:r>
      <w:r w:rsidR="00713A0A">
        <w:rPr>
          <w:rFonts w:cs="Arial"/>
        </w:rPr>
        <w:t xml:space="preserve"> </w:t>
      </w:r>
      <w:r>
        <w:rPr>
          <w:rFonts w:cs="Arial"/>
        </w:rPr>
        <w:t>The Board of Trustees has decision authority consistent with the Trust Agreement, Health Care Program policies, Chapter 48.62 RCW and Chapter 200-110-WAC.</w:t>
      </w:r>
    </w:p>
    <w:p w14:paraId="2A185575" w14:textId="65A2B6A3" w:rsidR="0025463C" w:rsidRDefault="0025463C" w:rsidP="0025463C">
      <w:pPr>
        <w:rPr>
          <w:rFonts w:cs="Arial"/>
        </w:rPr>
      </w:pPr>
    </w:p>
    <w:p w14:paraId="67B9EE07" w14:textId="77777777" w:rsidR="00713A0A" w:rsidRDefault="0025463C" w:rsidP="0025463C">
      <w:pPr>
        <w:jc w:val="both"/>
        <w:rPr>
          <w:rFonts w:cs="Arial"/>
        </w:rPr>
      </w:pPr>
      <w:r>
        <w:rPr>
          <w:rFonts w:cs="Arial"/>
        </w:rPr>
        <w:t>The accounting records of the AWC Trust HCP are maintained in accordance with methods prescribed by the State Auditor’s office under the authority of Chapter 43.09 RCW.</w:t>
      </w:r>
      <w:r w:rsidR="00713A0A">
        <w:rPr>
          <w:rFonts w:cs="Arial"/>
        </w:rPr>
        <w:t xml:space="preserve"> </w:t>
      </w:r>
      <w:r>
        <w:rPr>
          <w:rFonts w:cs="Arial"/>
        </w:rPr>
        <w:t>The AWC Trust HCP also follows applicable accounting standards established by the Governmental Accounting Standards Board (“GASB”).</w:t>
      </w:r>
      <w:r w:rsidR="00713A0A">
        <w:rPr>
          <w:rFonts w:cs="Arial"/>
        </w:rPr>
        <w:t xml:space="preserve"> </w:t>
      </w:r>
      <w:r>
        <w:rPr>
          <w:rFonts w:cs="Arial"/>
        </w:rPr>
        <w:t>In 2018, the retiree medical plan subsidy was eliminated, and is noted as such in the report for the fiscal year ending December 31, 2018.</w:t>
      </w:r>
      <w:r w:rsidR="00713A0A">
        <w:rPr>
          <w:rFonts w:cs="Arial"/>
        </w:rPr>
        <w:t xml:space="preserve"> </w:t>
      </w:r>
      <w:r>
        <w:rPr>
          <w:rFonts w:cs="Arial"/>
        </w:rPr>
        <w:t>Year-end financial reporting is done on an accrual basis and submitted to the Office of the State Auditor as required by Chapter 200-110 WAC.</w:t>
      </w:r>
      <w:r w:rsidR="00713A0A">
        <w:rPr>
          <w:rFonts w:cs="Arial"/>
        </w:rPr>
        <w:t xml:space="preserve"> </w:t>
      </w:r>
      <w:r>
        <w:rPr>
          <w:rFonts w:cs="Arial"/>
        </w:rPr>
        <w:t>The audit report for the AWC Trust HCP is available from the Washington State Auditor’s office.</w:t>
      </w:r>
    </w:p>
    <w:p w14:paraId="02932DC5" w14:textId="38FD47D8" w:rsidR="00BF377C" w:rsidRDefault="00BF377C" w:rsidP="0025463C">
      <w:pPr>
        <w:jc w:val="both"/>
        <w:rPr>
          <w:rFonts w:cs="Arial"/>
        </w:rPr>
      </w:pPr>
    </w:p>
    <w:sectPr w:rsidR="00BF377C" w:rsidSect="00C90337">
      <w:footerReference w:type="default" r:id="rId12"/>
      <w:headerReference w:type="first" r:id="rId13"/>
      <w:pgSz w:w="12240" w:h="15840" w:code="1"/>
      <w:pgMar w:top="720" w:right="720" w:bottom="720" w:left="720" w:header="576" w:footer="576" w:gutter="0"/>
      <w:paperSrc w:firs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8D08F" w14:textId="77777777" w:rsidR="00D578D8" w:rsidRDefault="00D578D8">
      <w:r>
        <w:separator/>
      </w:r>
    </w:p>
  </w:endnote>
  <w:endnote w:type="continuationSeparator" w:id="0">
    <w:p w14:paraId="0B1E170C" w14:textId="77777777" w:rsidR="00D578D8" w:rsidRDefault="00D5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36FB5" w14:textId="77777777" w:rsidR="002238B9" w:rsidRDefault="002238B9">
    <w:pPr>
      <w:pStyle w:val="Footer"/>
      <w:jc w:val="center"/>
      <w:rP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FE7642">
      <w:rPr>
        <w:rStyle w:val="PageNumber"/>
        <w:rFonts w:cs="Arial"/>
        <w:noProof/>
      </w:rPr>
      <w:t>2</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4F97" w14:textId="77777777" w:rsidR="00D578D8" w:rsidRDefault="00D578D8">
      <w:r>
        <w:separator/>
      </w:r>
    </w:p>
  </w:footnote>
  <w:footnote w:type="continuationSeparator" w:id="0">
    <w:p w14:paraId="289DEE36" w14:textId="77777777" w:rsidR="00D578D8" w:rsidRDefault="00D57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F71E" w14:textId="19B319E8" w:rsidR="00713A0A" w:rsidRDefault="00C90337">
    <w:pPr>
      <w:pStyle w:val="Header"/>
    </w:pPr>
    <w:r>
      <w:rPr>
        <w:noProof/>
      </w:rPr>
      <w:drawing>
        <wp:anchor distT="0" distB="0" distL="114300" distR="114300" simplePos="0" relativeHeight="251658240" behindDoc="1" locked="1" layoutInCell="1" allowOverlap="1" wp14:anchorId="5DA45A46" wp14:editId="3726BF4C">
          <wp:simplePos x="0" y="0"/>
          <wp:positionH relativeFrom="page">
            <wp:align>center</wp:align>
          </wp:positionH>
          <wp:positionV relativeFrom="page">
            <wp:posOffset>-91440</wp:posOffset>
          </wp:positionV>
          <wp:extent cx="7936992" cy="9747504"/>
          <wp:effectExtent l="0" t="0" r="6985" b="6350"/>
          <wp:wrapNone/>
          <wp:docPr id="2" name="Picture 3" descr="A green and yellow cover with building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een and yellow cover with buildings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992" cy="9747504"/>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1B"/>
    <w:rsid w:val="000202AB"/>
    <w:rsid w:val="000227D9"/>
    <w:rsid w:val="00024EEF"/>
    <w:rsid w:val="000420C7"/>
    <w:rsid w:val="000802BB"/>
    <w:rsid w:val="000B043B"/>
    <w:rsid w:val="000C7242"/>
    <w:rsid w:val="00134AC1"/>
    <w:rsid w:val="001353D2"/>
    <w:rsid w:val="00143711"/>
    <w:rsid w:val="00145BA5"/>
    <w:rsid w:val="00145CDF"/>
    <w:rsid w:val="00156ECA"/>
    <w:rsid w:val="00162A21"/>
    <w:rsid w:val="00180EE5"/>
    <w:rsid w:val="001B2857"/>
    <w:rsid w:val="001F3A32"/>
    <w:rsid w:val="002238B9"/>
    <w:rsid w:val="00244455"/>
    <w:rsid w:val="0025463C"/>
    <w:rsid w:val="002900E7"/>
    <w:rsid w:val="002B76C3"/>
    <w:rsid w:val="002E085E"/>
    <w:rsid w:val="00301185"/>
    <w:rsid w:val="003021F0"/>
    <w:rsid w:val="00322C53"/>
    <w:rsid w:val="00330E25"/>
    <w:rsid w:val="00355CCA"/>
    <w:rsid w:val="00374550"/>
    <w:rsid w:val="0039209B"/>
    <w:rsid w:val="00394420"/>
    <w:rsid w:val="003A0A25"/>
    <w:rsid w:val="003A1FA4"/>
    <w:rsid w:val="003B2E4C"/>
    <w:rsid w:val="003B3122"/>
    <w:rsid w:val="003C6E9F"/>
    <w:rsid w:val="003E0A2B"/>
    <w:rsid w:val="00473488"/>
    <w:rsid w:val="004873E4"/>
    <w:rsid w:val="004E3D74"/>
    <w:rsid w:val="004E7BF7"/>
    <w:rsid w:val="00510C47"/>
    <w:rsid w:val="00526761"/>
    <w:rsid w:val="00527F85"/>
    <w:rsid w:val="00544CF3"/>
    <w:rsid w:val="005A57FD"/>
    <w:rsid w:val="005C76ED"/>
    <w:rsid w:val="005D0020"/>
    <w:rsid w:val="005D5978"/>
    <w:rsid w:val="005E0937"/>
    <w:rsid w:val="005F5ABA"/>
    <w:rsid w:val="00601170"/>
    <w:rsid w:val="00614B9B"/>
    <w:rsid w:val="00667F4C"/>
    <w:rsid w:val="006734DD"/>
    <w:rsid w:val="00691865"/>
    <w:rsid w:val="006A533B"/>
    <w:rsid w:val="006B2663"/>
    <w:rsid w:val="006C49B2"/>
    <w:rsid w:val="006C5776"/>
    <w:rsid w:val="007063BE"/>
    <w:rsid w:val="00713A0A"/>
    <w:rsid w:val="00727E7E"/>
    <w:rsid w:val="00737DA9"/>
    <w:rsid w:val="007630E0"/>
    <w:rsid w:val="007A2C1A"/>
    <w:rsid w:val="007C067F"/>
    <w:rsid w:val="007D701C"/>
    <w:rsid w:val="007F0ABF"/>
    <w:rsid w:val="007F2686"/>
    <w:rsid w:val="00804A95"/>
    <w:rsid w:val="00822A9C"/>
    <w:rsid w:val="00827BB6"/>
    <w:rsid w:val="008333CC"/>
    <w:rsid w:val="008573AE"/>
    <w:rsid w:val="00862BF4"/>
    <w:rsid w:val="008920A4"/>
    <w:rsid w:val="008B3076"/>
    <w:rsid w:val="008D068E"/>
    <w:rsid w:val="008D772B"/>
    <w:rsid w:val="008F3B61"/>
    <w:rsid w:val="008F7C16"/>
    <w:rsid w:val="0090749F"/>
    <w:rsid w:val="0096718C"/>
    <w:rsid w:val="00993230"/>
    <w:rsid w:val="009A5CD5"/>
    <w:rsid w:val="009A740D"/>
    <w:rsid w:val="009C4B71"/>
    <w:rsid w:val="009E6B35"/>
    <w:rsid w:val="00A063FF"/>
    <w:rsid w:val="00A17590"/>
    <w:rsid w:val="00A22B22"/>
    <w:rsid w:val="00A32745"/>
    <w:rsid w:val="00A73427"/>
    <w:rsid w:val="00AB3372"/>
    <w:rsid w:val="00AF564A"/>
    <w:rsid w:val="00B31BB0"/>
    <w:rsid w:val="00B97A51"/>
    <w:rsid w:val="00BA2892"/>
    <w:rsid w:val="00BD157F"/>
    <w:rsid w:val="00BD2819"/>
    <w:rsid w:val="00BE142B"/>
    <w:rsid w:val="00BE3D3E"/>
    <w:rsid w:val="00BF377C"/>
    <w:rsid w:val="00C06297"/>
    <w:rsid w:val="00C21C7D"/>
    <w:rsid w:val="00C26980"/>
    <w:rsid w:val="00C37E45"/>
    <w:rsid w:val="00C62732"/>
    <w:rsid w:val="00C62C77"/>
    <w:rsid w:val="00C62E12"/>
    <w:rsid w:val="00C725F3"/>
    <w:rsid w:val="00C75A6F"/>
    <w:rsid w:val="00C90337"/>
    <w:rsid w:val="00C9679E"/>
    <w:rsid w:val="00CA28FA"/>
    <w:rsid w:val="00CD09C7"/>
    <w:rsid w:val="00CD0DC7"/>
    <w:rsid w:val="00CE6289"/>
    <w:rsid w:val="00CF5F4D"/>
    <w:rsid w:val="00D245E9"/>
    <w:rsid w:val="00D24623"/>
    <w:rsid w:val="00D3017D"/>
    <w:rsid w:val="00D3531B"/>
    <w:rsid w:val="00D578D8"/>
    <w:rsid w:val="00D57A94"/>
    <w:rsid w:val="00D66A15"/>
    <w:rsid w:val="00D71662"/>
    <w:rsid w:val="00DA38DE"/>
    <w:rsid w:val="00DD4664"/>
    <w:rsid w:val="00DF502F"/>
    <w:rsid w:val="00E00FE7"/>
    <w:rsid w:val="00E26569"/>
    <w:rsid w:val="00E316F6"/>
    <w:rsid w:val="00E343B2"/>
    <w:rsid w:val="00E76BFC"/>
    <w:rsid w:val="00EB0401"/>
    <w:rsid w:val="00F0757C"/>
    <w:rsid w:val="00F114F5"/>
    <w:rsid w:val="00F3608F"/>
    <w:rsid w:val="00F4606B"/>
    <w:rsid w:val="00F84116"/>
    <w:rsid w:val="00F8612E"/>
    <w:rsid w:val="00FB52CD"/>
    <w:rsid w:val="00FC2F23"/>
    <w:rsid w:val="00FE28BC"/>
    <w:rsid w:val="00FE3E4E"/>
    <w:rsid w:val="00FE46E8"/>
    <w:rsid w:val="00FE70A5"/>
    <w:rsid w:val="00FE7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28135C1"/>
  <w15:chartTrackingRefBased/>
  <w15:docId w15:val="{0875BCF0-48DF-4067-96FB-0FFA8F54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A0A"/>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5D5978"/>
    <w:rPr>
      <w:sz w:val="16"/>
      <w:szCs w:val="16"/>
    </w:rPr>
  </w:style>
  <w:style w:type="paragraph" w:styleId="CommentText">
    <w:name w:val="annotation text"/>
    <w:basedOn w:val="Normal"/>
    <w:link w:val="CommentTextChar"/>
    <w:rsid w:val="005D5978"/>
    <w:rPr>
      <w:sz w:val="20"/>
      <w:szCs w:val="20"/>
    </w:rPr>
  </w:style>
  <w:style w:type="character" w:customStyle="1" w:styleId="CommentTextChar">
    <w:name w:val="Comment Text Char"/>
    <w:basedOn w:val="DefaultParagraphFont"/>
    <w:link w:val="CommentText"/>
    <w:rsid w:val="005D5978"/>
  </w:style>
  <w:style w:type="paragraph" w:styleId="CommentSubject">
    <w:name w:val="annotation subject"/>
    <w:basedOn w:val="CommentText"/>
    <w:next w:val="CommentText"/>
    <w:link w:val="CommentSubjectChar"/>
    <w:rsid w:val="005D5978"/>
    <w:rPr>
      <w:b/>
      <w:bCs/>
    </w:rPr>
  </w:style>
  <w:style w:type="character" w:customStyle="1" w:styleId="CommentSubjectChar">
    <w:name w:val="Comment Subject Char"/>
    <w:link w:val="CommentSubject"/>
    <w:rsid w:val="005D59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A07456F564304D92B3733AB32DFC1A" ma:contentTypeVersion="16" ma:contentTypeDescription="Create a new document." ma:contentTypeScope="" ma:versionID="f57e3e1206388f240a5c8b9fcbf3d42e">
  <xsd:schema xmlns:xsd="http://www.w3.org/2001/XMLSchema" xmlns:xs="http://www.w3.org/2001/XMLSchema" xmlns:p="http://schemas.microsoft.com/office/2006/metadata/properties" xmlns:ns2="a7c87df0-0653-47de-8521-030c1be5e90b" xmlns:ns3="3118f8e0-a59c-48df-9f6f-042f501edf0d" targetNamespace="http://schemas.microsoft.com/office/2006/metadata/properties" ma:root="true" ma:fieldsID="06ee7d5cfa6a29f6a993c005f9dbeab0" ns2:_="" ns3:_="">
    <xsd:import namespace="a7c87df0-0653-47de-8521-030c1be5e90b"/>
    <xsd:import namespace="3118f8e0-a59c-48df-9f6f-042f501edf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87df0-0653-47de-8521-030c1be5e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ee821b-11c8-484d-bd75-fe806e22ec3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f8e0-a59c-48df-9f6f-042f501edf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fe9beb-36ec-4ac8-b014-0a091de8ea34}" ma:internalName="TaxCatchAll" ma:showField="CatchAllData" ma:web="3118f8e0-a59c-48df-9f6f-042f501edf0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118f8e0-a59c-48df-9f6f-042f501edf0d"/>
    <lcf76f155ced4ddcb4097134ff3c332f xmlns="a7c87df0-0653-47de-8521-030c1be5e90b">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E497E-0C2F-4564-987A-A6B834E35065}">
  <ds:schemaRefs>
    <ds:schemaRef ds:uri="http://schemas.microsoft.com/sharepoint/v3/contenttype/forms"/>
  </ds:schemaRefs>
</ds:datastoreItem>
</file>

<file path=customXml/itemProps2.xml><?xml version="1.0" encoding="utf-8"?>
<ds:datastoreItem xmlns:ds="http://schemas.openxmlformats.org/officeDocument/2006/customXml" ds:itemID="{BAA67165-34B3-4379-90BC-1F060062C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87df0-0653-47de-8521-030c1be5e90b"/>
    <ds:schemaRef ds:uri="3118f8e0-a59c-48df-9f6f-042f501ed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B0FCE-FA64-475E-BDE2-427226096C5D}">
  <ds:schemaRefs>
    <ds:schemaRef ds:uri="http://schemas.microsoft.com/office/2006/metadata/longProperties"/>
  </ds:schemaRefs>
</ds:datastoreItem>
</file>

<file path=customXml/itemProps4.xml><?xml version="1.0" encoding="utf-8"?>
<ds:datastoreItem xmlns:ds="http://schemas.openxmlformats.org/officeDocument/2006/customXml" ds:itemID="{5AD37D40-339F-4237-9E32-C9541842AD5A}">
  <ds:schemaRefs>
    <ds:schemaRef ds:uri="http://purl.org/dc/terms/"/>
    <ds:schemaRef ds:uri="http://schemas.microsoft.com/office/2006/metadata/properties"/>
    <ds:schemaRef ds:uri="http://www.w3.org/XML/1998/namespace"/>
    <ds:schemaRef ds:uri="a7c87df0-0653-47de-8521-030c1be5e90b"/>
    <ds:schemaRef ds:uri="http://schemas.microsoft.com/office/2006/documentManagement/types"/>
    <ds:schemaRef ds:uri="http://schemas.openxmlformats.org/package/2006/metadata/core-properties"/>
    <ds:schemaRef ds:uri="3118f8e0-a59c-48df-9f6f-042f501edf0d"/>
    <ds:schemaRef ds:uri="http://purl.org/dc/dcmitype/"/>
    <ds:schemaRef ds:uri="http://purl.org/dc/elements/1.1/"/>
    <ds:schemaRef ds:uri="http://schemas.microsoft.com/office/infopath/2007/PartnerControls"/>
  </ds:schemaRefs>
</ds:datastoreItem>
</file>

<file path=customXml/itemProps5.xml><?xml version="1.0" encoding="utf-8"?>
<ds:datastoreItem xmlns:ds="http://schemas.openxmlformats.org/officeDocument/2006/customXml" ds:itemID="{CE0CFCB3-03CF-4C5A-80FB-5A312661C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782</Words>
  <Characters>4359</Characters>
  <Application>Microsoft Office Word</Application>
  <DocSecurity>0</DocSecurity>
  <Lines>73</Lines>
  <Paragraphs>14</Paragraphs>
  <ScaleCrop>false</ScaleCrop>
  <HeadingPairs>
    <vt:vector size="2" baseType="variant">
      <vt:variant>
        <vt:lpstr>Title</vt:lpstr>
      </vt:variant>
      <vt:variant>
        <vt:i4>1</vt:i4>
      </vt:variant>
    </vt:vector>
  </HeadingPairs>
  <TitlesOfParts>
    <vt:vector size="1" baseType="lpstr">
      <vt:lpstr>January 23, 2006</vt:lpstr>
    </vt:vector>
  </TitlesOfParts>
  <Company>Association of Washington Cities</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23, 2006</dc:title>
  <dc:subject/>
  <dc:creator>Brenda Mingo</dc:creator>
  <cp:keywords/>
  <cp:lastModifiedBy>Jen Brimer</cp:lastModifiedBy>
  <cp:revision>2</cp:revision>
  <cp:lastPrinted>2010-02-01T18:39:00Z</cp:lastPrinted>
  <dcterms:created xsi:type="dcterms:W3CDTF">2026-01-29T22:33:00Z</dcterms:created>
  <dcterms:modified xsi:type="dcterms:W3CDTF">2026-01-29T22:33:00Z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xd_Signature">
    <vt:lpwstr/>
  </property>
  <property fmtid="{D5CDD505-2E9C-101B-9397-08002B2CF9AE}" pid="4" name="display_urn:schemas-microsoft-com:office:office#Editor">
    <vt:lpwstr>Beverly Lakey, CEBS</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Beverly Lakey, CEBS</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ContentTypeId">
    <vt:lpwstr>0x01010074A07456F564304D92B3733AB32DFC1A</vt:lpwstr>
  </property>
  <property fmtid="{D5CDD505-2E9C-101B-9397-08002B2CF9AE}" pid="12" name="MediaServiceImageTags">
    <vt:lpwstr/>
  </property>
</Properties>
</file>